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spacing w:before="0" w:after="60" w:line="276" w:lineRule="auto"/>
        <w:jc w:val="center"/>
      </w:pPr>
      <w:r>
        <w:rPr>
          <w:b/>
          <w:bCs/>
          <w:sz w:val="24"/>
          <w:szCs w:val="24"/>
          <w:lang w:val="tg-Cyrl-TJ"/>
        </w:rPr>
        <w:t xml:space="preserve">Агентии обуҳавошиносӣ</w:t>
      </w:r>
    </w:p>
    <w:p>
      <w:pPr>
        <w:spacing w:before="0" w:after="60" w:line="276" w:lineRule="auto"/>
        <w:jc w:val="center"/>
      </w:pPr>
      <w:r>
        <w:rPr>
          <w:b/>
          <w:bCs/>
          <w:sz w:val="24"/>
          <w:szCs w:val="24"/>
          <w:lang w:val="tg-Cyrl-TJ"/>
        </w:rPr>
        <w:t xml:space="preserve">Раёсати мониторинги муҳити зист</w:t>
      </w:r>
    </w:p>
    <w:p>
      <w:pPr>
        <w:spacing w:before="120" w:after="0" w:line="276" w:lineRule="auto"/>
        <w:jc w:val="left"/>
      </w:pPr>
    </w:p>
    <w:p>
      <w:pPr>
        <w:spacing w:before="0" w:after="60" w:line="276" w:lineRule="auto"/>
        <w:jc w:val="center"/>
      </w:pPr>
      <w:r>
        <w:rPr>
          <w:b/>
          <w:bCs/>
          <w:sz w:val="26"/>
          <w:szCs w:val="26"/>
          <w:lang w:val="tg-Cyrl-TJ"/>
        </w:rPr>
        <w:t xml:space="preserve">Шарҳи ҳолати ифлосшавии ҳаво дар шаҳри Душанбе</w:t>
      </w:r>
    </w:p>
    <w:p>
      <w:pPr>
        <w:spacing w:before="0" w:after="60" w:line="276" w:lineRule="auto"/>
        <w:jc w:val="center"/>
      </w:pPr>
      <w:r>
        <w:rPr>
          <w:b/>
          <w:bCs/>
          <w:i/>
          <w:iCs/>
          <w:sz w:val="24"/>
          <w:szCs w:val="24"/>
          <w:lang w:val="tg-Cyrl-TJ"/>
        </w:rPr>
        <w:t xml:space="preserve">барои санаи 27 октябри 2026</w:t>
      </w:r>
    </w:p>
    <w:p>
      <w:pPr>
        <w:spacing w:before="120" w:after="60" w:line="276" w:lineRule="auto"/>
        <w:ind w:firstLine="709"/>
        <w:jc w:val="both"/>
      </w:pPr>
      <w:r>
        <w:rPr>
          <w:sz w:val="24"/>
          <w:szCs w:val="24"/>
          <w:lang w:val="tg-Cyrl-TJ"/>
        </w:rPr>
        <w:t xml:space="preserve">Натиҷаи нишондоди моддаҳои ифлоскунандаи ҳавои атмосферӣ, ки дар нуқтаи худкори Агентии обуҳавошиносӣ мушоҳида шудааст, чунин арзёбӣ гардид:</w:t>
      </w:r>
    </w:p>
    <w:tbl>
      <w:tblPr>
        <w:tblW w:w="9638" w:type="dxa"/>
        <w:tblLayout w:type="fixed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57" w:type="dxa"/>
          <w:right w:w="57" w:type="dxa"/>
        </w:tblCellMar>
      </w:tblPr>
      <w:tblGrid>
        <w:gridCol w:w="482"/>
        <w:gridCol w:w="2988"/>
        <w:gridCol w:w="1060"/>
        <w:gridCol w:w="1060"/>
        <w:gridCol w:w="964"/>
        <w:gridCol w:w="1060"/>
        <w:gridCol w:w="1060"/>
        <w:gridCol w:w="964"/>
      </w:tblGrid>
      <w:tr>
        <w:trPr>
          <w:tblHeader/>
        </w:trPr>
        <w:tc>
          <w:tcPr>
            <w:tcW w:w="482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bCs/>
                <w:sz w:val="20"/>
                <w:szCs w:val="20"/>
                <w:lang w:val="tg-Cyrl-TJ"/>
              </w:rPr>
              <w:t xml:space="preserve">№</w:t>
            </w:r>
          </w:p>
        </w:tc>
        <w:tc>
          <w:tcPr>
            <w:tcW w:w="2988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bCs/>
                <w:sz w:val="20"/>
                <w:szCs w:val="20"/>
                <w:lang w:val="tg-Cyrl-TJ"/>
              </w:rPr>
              <w:t xml:space="preserve">Моддаҳои мушоҳидашаванда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bCs/>
                <w:sz w:val="20"/>
                <w:szCs w:val="20"/>
                <w:lang w:val="tg-Cyrl-TJ"/>
              </w:rPr>
              <w:t xml:space="preserve">Нишондод м.ш.б (мг/м3)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bCs/>
                <w:sz w:val="20"/>
                <w:szCs w:val="20"/>
                <w:lang w:val="tg-Cyrl-TJ"/>
              </w:rPr>
              <w:t xml:space="preserve">Меъёри м.ш.р (мг/м3)</w:t>
            </w:r>
          </w:p>
        </w:tc>
        <w:tc>
          <w:tcPr>
            <w:tcW w:w="964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bCs/>
                <w:sz w:val="20"/>
                <w:szCs w:val="20"/>
                <w:lang w:val="tg-Cyrl-TJ"/>
              </w:rPr>
              <w:t xml:space="preserve">Нисбати м.м.ш.р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bCs/>
                <w:sz w:val="20"/>
                <w:szCs w:val="20"/>
                <w:lang w:val="tg-Cyrl-TJ"/>
              </w:rPr>
              <w:t xml:space="preserve">Нишондод я.м.б (мг/м3)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bCs/>
                <w:sz w:val="20"/>
                <w:szCs w:val="20"/>
                <w:lang w:val="tg-Cyrl-TJ"/>
              </w:rPr>
              <w:t xml:space="preserve">Меъёри я.м.б (мг/м3)</w:t>
            </w:r>
          </w:p>
        </w:tc>
        <w:tc>
          <w:tcPr>
            <w:tcW w:w="964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bCs/>
                <w:sz w:val="20"/>
                <w:szCs w:val="20"/>
                <w:lang w:val="tg-Cyrl-TJ"/>
              </w:rPr>
              <w:t xml:space="preserve">Нисбати м.я.м.б</w:t>
            </w:r>
          </w:p>
        </w:tc>
      </w:tr>
      <w:tr>
        <w:tc>
          <w:tcPr>
            <w:tcW w:w="482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0"/>
                <w:szCs w:val="20"/>
                <w:lang w:val="tg-Cyrl-TJ"/>
              </w:rPr>
              <w:t xml:space="preserve">1</w:t>
            </w:r>
          </w:p>
        </w:tc>
        <w:tc>
          <w:tcPr>
            <w:tcW w:w="2988" w:type="dxa"/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sz w:val="20"/>
                <w:szCs w:val="20"/>
                <w:lang w:val="tg-Cyrl-TJ"/>
              </w:rPr>
              <w:t xml:space="preserve">Зарачаҳои 2,5 мкр. (РМ-2,5)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0"/>
                <w:szCs w:val="20"/>
                <w:lang w:val="tg-Cyrl-TJ"/>
              </w:rPr>
              <w:t xml:space="preserve">0,022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0"/>
                <w:szCs w:val="20"/>
                <w:lang w:val="tg-Cyrl-TJ"/>
              </w:rPr>
              <w:t xml:space="preserve">0,035</w:t>
            </w:r>
          </w:p>
        </w:tc>
        <w:tc>
          <w:tcPr>
            <w:tcW w:w="964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0"/>
                <w:szCs w:val="20"/>
                <w:lang w:val="tg-Cyrl-TJ"/>
              </w:rPr>
              <w:t xml:space="preserve">0,62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0"/>
                <w:szCs w:val="20"/>
                <w:lang w:val="tg-Cyrl-TJ"/>
              </w:rPr>
              <w:t xml:space="preserve">0,037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0"/>
                <w:szCs w:val="20"/>
                <w:lang w:val="tg-Cyrl-TJ"/>
              </w:rPr>
              <w:t xml:space="preserve">0,16</w:t>
            </w:r>
          </w:p>
        </w:tc>
        <w:tc>
          <w:tcPr>
            <w:tcW w:w="964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0"/>
                <w:szCs w:val="20"/>
                <w:lang w:val="tg-Cyrl-TJ"/>
              </w:rPr>
              <w:t xml:space="preserve">0,23</w:t>
            </w:r>
          </w:p>
        </w:tc>
      </w:tr>
      <w:tr>
        <w:tc>
          <w:tcPr>
            <w:tcW w:w="482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0"/>
                <w:szCs w:val="20"/>
                <w:lang w:val="tg-Cyrl-TJ"/>
              </w:rPr>
              <w:t xml:space="preserve">2</w:t>
            </w:r>
          </w:p>
        </w:tc>
        <w:tc>
          <w:tcPr>
            <w:tcW w:w="2988" w:type="dxa"/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sz w:val="20"/>
                <w:szCs w:val="20"/>
                <w:lang w:val="tg-Cyrl-TJ"/>
              </w:rPr>
              <w:t xml:space="preserve">Зарачаҳои 10 мкр. (РМ-10)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0"/>
                <w:szCs w:val="20"/>
                <w:lang w:val="tg-Cyrl-TJ"/>
              </w:rPr>
              <w:t xml:space="preserve">0,059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0"/>
                <w:szCs w:val="20"/>
                <w:lang w:val="tg-Cyrl-TJ"/>
              </w:rPr>
              <w:t xml:space="preserve">0,06</w:t>
            </w:r>
          </w:p>
        </w:tc>
        <w:tc>
          <w:tcPr>
            <w:tcW w:w="964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0"/>
                <w:szCs w:val="20"/>
                <w:lang w:val="tg-Cyrl-TJ"/>
              </w:rPr>
              <w:t xml:space="preserve">0,98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0"/>
                <w:szCs w:val="20"/>
                <w:lang w:val="tg-Cyrl-TJ"/>
              </w:rPr>
              <w:t xml:space="preserve">0,110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0"/>
                <w:szCs w:val="20"/>
                <w:lang w:val="tg-Cyrl-TJ"/>
              </w:rPr>
              <w:t xml:space="preserve">0,3</w:t>
            </w:r>
          </w:p>
        </w:tc>
        <w:tc>
          <w:tcPr>
            <w:tcW w:w="964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0"/>
                <w:szCs w:val="20"/>
                <w:lang w:val="tg-Cyrl-TJ"/>
              </w:rPr>
              <w:t xml:space="preserve">0,37</w:t>
            </w:r>
          </w:p>
        </w:tc>
      </w:tr>
      <w:tr>
        <w:tc>
          <w:tcPr>
            <w:tcW w:w="482" w:type="dxa"/>
            <w:vAlign w:val="center"/>
          </w:tcPr>
          <w:p>
            <w:pPr>
              <w:spacing w:before="0" w:after="0" w:line="276" w:lineRule="auto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b/>
                <w:bCs/>
                <w:sz w:val="20"/>
                <w:szCs w:val="20"/>
                <w:lang w:val="tg-Cyrl-TJ"/>
              </w:rPr>
              <w:t xml:space="preserve">∑ NO2 + SO2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bCs/>
                <w:sz w:val="20"/>
                <w:szCs w:val="20"/>
                <w:lang w:val="tg-Cyrl-TJ"/>
              </w:rPr>
              <w:t xml:space="preserve">-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</w:p>
        </w:tc>
        <w:tc>
          <w:tcPr>
            <w:tcW w:w="964" w:type="dxa"/>
            <w:vAlign w:val="center"/>
          </w:tcPr>
          <w:p>
            <w:pPr>
              <w:spacing w:before="0" w:after="0" w:line="276" w:lineRule="auto"/>
              <w:jc w:val="center"/>
            </w:pP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</w:p>
        </w:tc>
        <w:tc>
          <w:tcPr>
            <w:tcW w:w="964" w:type="dxa"/>
            <w:vAlign w:val="center"/>
          </w:tcPr>
          <w:p>
            <w:pPr>
              <w:spacing w:before="0" w:after="0" w:line="276" w:lineRule="auto"/>
              <w:jc w:val="center"/>
            </w:pPr>
          </w:p>
        </w:tc>
      </w:tr>
    </w:tbl>
    <w:p>
      <w:pPr>
        <w:spacing w:before="0" w:after="60" w:line="276" w:lineRule="auto"/>
        <w:ind w:firstLine="709"/>
        <w:jc w:val="both"/>
      </w:pPr>
      <w:r>
        <w:rPr>
          <w:sz w:val="24"/>
          <w:szCs w:val="24"/>
          <w:lang w:val="tg-Cyrl-TJ"/>
        </w:rPr>
        <w:t xml:space="preserve">Баландшавии консентратсияи миёнаи шабонарӯзии зарачаҳои 2,5 мкр. (РМ-2,5) аз 0,55 то 0,62; зарачаҳои 10 мкр. (РМ-10) аз 0,84 то 0,98 ҲМҒм.ш.р мушоҳида шуд.</w:t>
      </w:r>
    </w:p>
    <w:p>
      <w:pPr>
        <w:spacing w:before="0" w:after="60" w:line="276" w:lineRule="auto"/>
        <w:ind w:firstLine="709"/>
        <w:jc w:val="both"/>
      </w:pPr>
      <w:r>
        <w:rPr>
          <w:sz w:val="24"/>
          <w:szCs w:val="24"/>
          <w:lang w:val="tg-Cyrl-TJ"/>
        </w:rPr>
        <w:t xml:space="preserve">Мувофиқи натиҷаҳо нишондоди ҳамаи моддаҳои мушоҳидашаванда дар ҳудуди меъёр қарор доранд. Ҳолати баланд (ИБ) ва ниҳоят баланди ифлосшавӣ (НИБ) ба қайд гирифта нашудааст.</w:t>
      </w:r>
    </w:p>
    <w:p>
      <w:pPr>
        <w:spacing w:before="120" w:after="0" w:line="276" w:lineRule="auto"/>
        <w:jc w:val="left"/>
      </w:pPr>
    </w:p>
    <w:p>
      <w:pPr>
        <w:spacing w:before="0" w:after="60" w:line="276" w:lineRule="auto"/>
        <w:jc w:val="left"/>
      </w:pPr>
      <w:r>
        <w:rPr>
          <w:b/>
          <w:bCs/>
          <w:i/>
          <w:iCs/>
          <w:sz w:val="20"/>
          <w:szCs w:val="20"/>
          <w:lang w:val="tg-Cyrl-TJ"/>
        </w:rPr>
        <w:t xml:space="preserve">Эзоҳ:</w:t>
      </w:r>
    </w:p>
    <w:p>
      <w:pPr>
        <w:spacing w:before="0" w:after="60" w:line="276" w:lineRule="auto"/>
        <w:jc w:val="left"/>
      </w:pPr>
      <w:r>
        <w:rPr>
          <w:i/>
          <w:iCs/>
          <w:sz w:val="20"/>
          <w:szCs w:val="20"/>
          <w:lang w:val="tg-Cyrl-TJ"/>
        </w:rPr>
        <w:t xml:space="preserve">м.ш.б – миёнаи шабонарӯзӣ;</w:t>
      </w:r>
    </w:p>
    <w:p>
      <w:pPr>
        <w:spacing w:before="0" w:after="60" w:line="276" w:lineRule="auto"/>
        <w:jc w:val="left"/>
      </w:pPr>
      <w:r>
        <w:rPr>
          <w:i/>
          <w:iCs/>
          <w:sz w:val="20"/>
          <w:szCs w:val="20"/>
          <w:lang w:val="tg-Cyrl-TJ"/>
        </w:rPr>
        <w:t xml:space="preserve">м.м.ш.р – меъёри миёнаи шабонарӯзӣ;</w:t>
      </w:r>
    </w:p>
    <w:p>
      <w:pPr>
        <w:spacing w:before="0" w:after="60" w:line="276" w:lineRule="auto"/>
        <w:jc w:val="left"/>
      </w:pPr>
      <w:r>
        <w:rPr>
          <w:i/>
          <w:iCs/>
          <w:sz w:val="20"/>
          <w:szCs w:val="20"/>
          <w:lang w:val="tg-Cyrl-TJ"/>
        </w:rPr>
        <w:t xml:space="preserve">я.м.б – якмаротибагии баландтарин;</w:t>
      </w:r>
    </w:p>
    <w:p>
      <w:pPr>
        <w:spacing w:before="0" w:after="60" w:line="276" w:lineRule="auto"/>
        <w:jc w:val="left"/>
      </w:pPr>
      <w:r>
        <w:rPr>
          <w:i/>
          <w:iCs/>
          <w:sz w:val="20"/>
          <w:szCs w:val="20"/>
          <w:lang w:val="tg-Cyrl-TJ"/>
        </w:rPr>
        <w:t xml:space="preserve">м.я.м.б – меъёри якмаротибагии баландтарин;</w:t>
      </w:r>
    </w:p>
    <w:p>
      <w:pPr>
        <w:spacing w:before="0" w:after="60" w:line="276" w:lineRule="auto"/>
        <w:jc w:val="left"/>
      </w:pPr>
      <w:r>
        <w:rPr>
          <w:i/>
          <w:iCs/>
          <w:sz w:val="20"/>
          <w:szCs w:val="20"/>
          <w:lang w:val="tg-Cyrl-TJ"/>
        </w:rPr>
        <w:t xml:space="preserve">мг/м3 – миллиграм дар метри кубӣ;</w:t>
      </w:r>
    </w:p>
    <w:p>
      <w:pPr>
        <w:spacing w:before="0" w:after="60" w:line="276" w:lineRule="auto"/>
        <w:jc w:val="left"/>
      </w:pPr>
      <w:r>
        <w:rPr>
          <w:i/>
          <w:iCs/>
          <w:sz w:val="20"/>
          <w:szCs w:val="20"/>
          <w:lang w:val="tg-Cyrl-TJ"/>
        </w:rPr>
        <w:t xml:space="preserve">мР/с – миллирентген соат;</w:t>
      </w:r>
    </w:p>
    <w:p>
      <w:pPr>
        <w:spacing w:before="0" w:after="60" w:line="276" w:lineRule="auto"/>
        <w:jc w:val="left"/>
      </w:pPr>
      <w:r>
        <w:rPr>
          <w:i/>
          <w:iCs/>
          <w:sz w:val="20"/>
          <w:szCs w:val="20"/>
          <w:lang w:val="tg-Cyrl-TJ"/>
        </w:rPr>
        <w:t xml:space="preserve">ПОЗ – пайвастагиҳои органикии зудбухоршаванда;</w:t>
      </w:r>
    </w:p>
    <w:p>
      <w:pPr>
        <w:spacing w:before="0" w:after="60" w:line="276" w:lineRule="auto"/>
        <w:jc w:val="left"/>
      </w:pPr>
      <w:r>
        <w:rPr>
          <w:i/>
          <w:iCs/>
          <w:sz w:val="20"/>
          <w:szCs w:val="20"/>
          <w:lang w:val="tg-Cyrl-TJ"/>
        </w:rPr>
        <w:t xml:space="preserve">ИБ – ифлосшавии баланд (≥ 10 ҲМҒя.м.б); НИБ – ифлосшавии ниҳоят баланд (≥ 50 ҲМҒя.м.б).</w:t>
      </w:r>
    </w:p>
    <w:p>
      <w:pPr>
        <w:spacing w:before="160" w:after="0" w:line="276" w:lineRule="auto"/>
        <w:jc w:val="left"/>
      </w:pPr>
    </w:p>
    <w:p>
      <w:pPr>
        <w:spacing w:before="0" w:after="60" w:line="276" w:lineRule="auto"/>
        <w:jc w:val="right"/>
      </w:pPr>
      <w:r>
        <w:rPr>
          <w:b/>
          <w:bCs/>
          <w:sz w:val="24"/>
          <w:szCs w:val="24"/>
          <w:lang w:val="tg-Cyrl-TJ"/>
        </w:rPr>
        <w:t xml:space="preserve">ШИ РММЗ</w:t>
      </w:r>
    </w:p>
    <w:p>
      <w:pPr>
        <w:spacing w:before="0" w:after="60" w:line="276" w:lineRule="auto"/>
        <w:jc w:val="right"/>
      </w:pPr>
      <w:r>
        <w:rPr>
          <w:sz w:val="24"/>
          <w:szCs w:val="24"/>
          <w:lang w:val="tg-Cyrl-TJ"/>
        </w:rPr>
        <w:t xml:space="preserve">28.10.2026</w:t>
      </w:r>
    </w:p>
    <w:sectPr>
      <w:pgSz w:w="11906" w:h="16838"/>
      <w:pgMar w:top="709" w:right="850" w:bottom="1134" w:left="1418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4"/>
        <w:szCs w:val="24"/>
        <w:lang w:val="tg-Cyrl-TJ" w:eastAsia="en-US" w:bidi="ar-SA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Meteoportal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Шарҳи ҳолати ифлосшавии ҳаво дар шаҳри Душанбе барои 27 октябри 2026</dc:title>
  <dc:creator>Метеопортал</dc:creator>
  <cp:lastModifiedBy>Метеопортал</cp:lastModifiedBy>
  <dcterms:created xsi:type="dcterms:W3CDTF">2026-10-28T05:53:41Z</dcterms:created>
  <dcterms:modified xsi:type="dcterms:W3CDTF">2026-10-28T05:53:41Z</dcterms:modified>
</cp:coreProperties>
</file>